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329C" w14:textId="0CEFA905" w:rsidR="003637BB" w:rsidRPr="00566BBD" w:rsidRDefault="00164452" w:rsidP="00164452">
      <w:pPr>
        <w:rPr>
          <w:rFonts w:ascii="Impact" w:hAnsi="Impact"/>
          <w:color w:val="999999"/>
          <w:sz w:val="72"/>
          <w:szCs w:val="72"/>
        </w:rPr>
      </w:pPr>
      <w:r>
        <w:rPr>
          <w:rFonts w:ascii="Impact" w:hAnsi="Impact"/>
          <w:noProof/>
          <w:color w:val="999999"/>
          <w:sz w:val="72"/>
          <w:szCs w:val="72"/>
        </w:rPr>
        <w:drawing>
          <wp:anchor distT="0" distB="0" distL="114300" distR="114300" simplePos="0" relativeHeight="251658240" behindDoc="1" locked="0" layoutInCell="1" allowOverlap="1" wp14:anchorId="46547A15" wp14:editId="75B93C52">
            <wp:simplePos x="0" y="0"/>
            <wp:positionH relativeFrom="column">
              <wp:posOffset>0</wp:posOffset>
            </wp:positionH>
            <wp:positionV relativeFrom="page">
              <wp:posOffset>632460</wp:posOffset>
            </wp:positionV>
            <wp:extent cx="1775460" cy="1116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1116965"/>
                    </a:xfrm>
                    <a:prstGeom prst="rect">
                      <a:avLst/>
                    </a:prstGeom>
                  </pic:spPr>
                </pic:pic>
              </a:graphicData>
            </a:graphic>
          </wp:anchor>
        </w:drawing>
      </w:r>
      <w:r>
        <w:rPr>
          <w:rFonts w:ascii="Impact" w:hAnsi="Impact"/>
          <w:color w:val="999999"/>
          <w:sz w:val="72"/>
          <w:szCs w:val="72"/>
        </w:rPr>
        <w:tab/>
      </w:r>
      <w:r>
        <w:rPr>
          <w:rFonts w:ascii="Impact" w:hAnsi="Impact"/>
          <w:color w:val="999999"/>
          <w:sz w:val="72"/>
          <w:szCs w:val="72"/>
        </w:rPr>
        <w:tab/>
      </w:r>
      <w:r>
        <w:rPr>
          <w:rFonts w:ascii="Impact" w:hAnsi="Impact"/>
          <w:color w:val="999999"/>
          <w:sz w:val="72"/>
          <w:szCs w:val="72"/>
        </w:rPr>
        <w:tab/>
      </w:r>
      <w:r>
        <w:rPr>
          <w:rFonts w:ascii="Impact" w:hAnsi="Impact"/>
          <w:color w:val="999999"/>
          <w:sz w:val="72"/>
          <w:szCs w:val="72"/>
        </w:rPr>
        <w:tab/>
      </w:r>
      <w:r>
        <w:rPr>
          <w:rFonts w:ascii="Impact" w:hAnsi="Impact"/>
          <w:color w:val="999999"/>
          <w:sz w:val="72"/>
          <w:szCs w:val="72"/>
        </w:rPr>
        <w:tab/>
      </w:r>
      <w:r>
        <w:rPr>
          <w:rFonts w:ascii="Impact" w:hAnsi="Impact"/>
          <w:color w:val="999999"/>
          <w:sz w:val="72"/>
          <w:szCs w:val="72"/>
        </w:rPr>
        <w:tab/>
      </w:r>
      <w:r>
        <w:rPr>
          <w:rFonts w:ascii="Impact" w:hAnsi="Impact"/>
          <w:color w:val="999999"/>
          <w:sz w:val="72"/>
          <w:szCs w:val="72"/>
        </w:rPr>
        <w:tab/>
      </w:r>
      <w:r w:rsidR="003637BB" w:rsidRPr="00B60073">
        <w:rPr>
          <w:rFonts w:ascii="Impact" w:hAnsi="Impact"/>
          <w:color w:val="999999"/>
          <w:sz w:val="72"/>
          <w:szCs w:val="72"/>
        </w:rPr>
        <w:t xml:space="preserve">NEWS </w:t>
      </w:r>
      <w:r w:rsidR="003637BB">
        <w:rPr>
          <w:rFonts w:ascii="Impact" w:hAnsi="Impact"/>
          <w:color w:val="999999"/>
          <w:sz w:val="72"/>
          <w:szCs w:val="72"/>
        </w:rPr>
        <w:t>R</w:t>
      </w:r>
      <w:r w:rsidR="003637BB" w:rsidRPr="00B60073">
        <w:rPr>
          <w:rFonts w:ascii="Impact" w:hAnsi="Impact"/>
          <w:color w:val="999999"/>
          <w:sz w:val="72"/>
          <w:szCs w:val="72"/>
        </w:rPr>
        <w:t>ELEASE</w:t>
      </w:r>
    </w:p>
    <w:p w14:paraId="277158FA" w14:textId="32EFA229" w:rsidR="003637BB" w:rsidRPr="00742445" w:rsidRDefault="00A44E6A" w:rsidP="00164452">
      <w:r>
        <w:tab/>
      </w:r>
      <w:r w:rsidR="000A7B26">
        <w:t xml:space="preserve">  </w:t>
      </w:r>
      <w:r w:rsidR="00A11747">
        <w:tab/>
      </w:r>
      <w:r w:rsidR="00A11747">
        <w:tab/>
      </w:r>
      <w:r w:rsidR="00164452">
        <w:tab/>
      </w:r>
      <w:r w:rsidR="00164452">
        <w:tab/>
      </w:r>
      <w:r w:rsidR="00164452">
        <w:tab/>
      </w:r>
      <w:r w:rsidR="00164452">
        <w:tab/>
      </w:r>
      <w:r w:rsidR="003637BB" w:rsidRPr="00742445">
        <w:t xml:space="preserve">NY News Contact: </w:t>
      </w:r>
      <w:r w:rsidR="00164452">
        <w:t xml:space="preserve"> </w:t>
      </w:r>
      <w:r w:rsidR="003637BB" w:rsidRPr="00742445">
        <w:t>Steve Cooper</w:t>
      </w:r>
    </w:p>
    <w:p w14:paraId="426F2990" w14:textId="731D7113" w:rsidR="00F925B6" w:rsidRDefault="00A57A32" w:rsidP="00335098">
      <w:r>
        <w:tab/>
      </w:r>
      <w:r w:rsidR="003637BB" w:rsidRPr="00742445">
        <w:tab/>
        <w:t xml:space="preserve">  </w:t>
      </w:r>
      <w:r w:rsidR="007F04D4" w:rsidRPr="00742445">
        <w:tab/>
      </w:r>
      <w:r w:rsidR="00A11747">
        <w:tab/>
      </w:r>
      <w:r w:rsidR="00A11747">
        <w:tab/>
      </w:r>
      <w:r w:rsidR="00A11747">
        <w:tab/>
      </w:r>
      <w:r w:rsidR="00164452">
        <w:tab/>
      </w:r>
      <w:r w:rsidR="00164452">
        <w:tab/>
      </w:r>
      <w:r w:rsidR="00164452">
        <w:tab/>
        <w:t xml:space="preserve">          </w:t>
      </w:r>
      <w:r w:rsidR="003637BB" w:rsidRPr="00742445">
        <w:t>516/623-7615</w:t>
      </w:r>
    </w:p>
    <w:p w14:paraId="0804DC79" w14:textId="0E691749" w:rsidR="001164D4" w:rsidRPr="00742445" w:rsidRDefault="003637BB" w:rsidP="00335098">
      <w:r w:rsidRPr="00742445">
        <w:tab/>
      </w:r>
      <w:r w:rsidR="000A7B26">
        <w:t xml:space="preserve">  </w:t>
      </w:r>
      <w:r w:rsidR="00A11747">
        <w:tab/>
      </w:r>
      <w:r w:rsidR="00A11747">
        <w:tab/>
      </w:r>
      <w:r w:rsidR="00164452">
        <w:tab/>
      </w:r>
      <w:r w:rsidR="00164452">
        <w:tab/>
      </w:r>
      <w:r w:rsidR="00164452">
        <w:tab/>
      </w:r>
      <w:r w:rsidR="00164452">
        <w:tab/>
      </w:r>
      <w:r w:rsidR="000A7B26">
        <w:t>P</w:t>
      </w:r>
      <w:r w:rsidR="00EA037D" w:rsidRPr="00742445">
        <w:t xml:space="preserve">PI News Contact: </w:t>
      </w:r>
      <w:r w:rsidR="00A11747">
        <w:t xml:space="preserve"> </w:t>
      </w:r>
      <w:r w:rsidR="001164D4">
        <w:t>David Fink</w:t>
      </w:r>
      <w:r w:rsidR="001164D4">
        <w:tab/>
      </w:r>
      <w:r w:rsidR="001164D4">
        <w:tab/>
      </w:r>
      <w:r w:rsidR="000A7B26">
        <w:t xml:space="preserve"> </w:t>
      </w:r>
      <w:r w:rsidR="00A11747">
        <w:tab/>
      </w:r>
      <w:r w:rsidR="00A11747">
        <w:tab/>
      </w:r>
      <w:r w:rsidR="00A11747">
        <w:tab/>
      </w:r>
      <w:r w:rsidR="00A11747">
        <w:tab/>
      </w:r>
      <w:r w:rsidR="00A11747">
        <w:tab/>
      </w:r>
      <w:r w:rsidR="00A11747">
        <w:tab/>
      </w:r>
      <w:r w:rsidR="00A11747">
        <w:tab/>
      </w:r>
      <w:r w:rsidR="00164452">
        <w:tab/>
      </w:r>
      <w:r w:rsidR="00164452">
        <w:tab/>
      </w:r>
      <w:r w:rsidR="00164452">
        <w:tab/>
      </w:r>
      <w:r w:rsidR="00164452">
        <w:tab/>
      </w:r>
      <w:r w:rsidR="001164D4">
        <w:t>469/499-1046</w:t>
      </w:r>
    </w:p>
    <w:p w14:paraId="6435FDC8" w14:textId="6D460255" w:rsidR="000A7B26" w:rsidRDefault="000A7B26" w:rsidP="007F441D">
      <w:pPr>
        <w:spacing w:line="480" w:lineRule="auto"/>
      </w:pPr>
    </w:p>
    <w:p w14:paraId="2FB7E546" w14:textId="32918D31" w:rsidR="00157ADC" w:rsidRDefault="00157ADC" w:rsidP="00157ADC">
      <w:pPr>
        <w:spacing w:after="160" w:line="259" w:lineRule="auto"/>
        <w:jc w:val="center"/>
        <w:rPr>
          <w:rFonts w:eastAsiaTheme="minorHAnsi"/>
          <w:u w:val="single"/>
        </w:rPr>
      </w:pPr>
      <w:r w:rsidRPr="00157ADC">
        <w:rPr>
          <w:rFonts w:eastAsiaTheme="minorHAnsi"/>
          <w:u w:val="single"/>
        </w:rPr>
        <w:t xml:space="preserve">SAFE  HDPE  CONDUIT  </w:t>
      </w:r>
    </w:p>
    <w:p w14:paraId="233194B5" w14:textId="108A9662" w:rsidR="00157ADC" w:rsidRPr="00157ADC" w:rsidRDefault="00157ADC" w:rsidP="00157ADC">
      <w:pPr>
        <w:spacing w:after="160" w:line="259" w:lineRule="auto"/>
        <w:jc w:val="center"/>
        <w:rPr>
          <w:rFonts w:eastAsiaTheme="minorHAnsi"/>
          <w:u w:val="single"/>
        </w:rPr>
      </w:pPr>
      <w:r w:rsidRPr="00157ADC">
        <w:rPr>
          <w:rFonts w:eastAsiaTheme="minorHAnsi"/>
          <w:u w:val="single"/>
        </w:rPr>
        <w:t>PULL  STRENGTH</w:t>
      </w:r>
    </w:p>
    <w:p w14:paraId="4022A6AA" w14:textId="5F8A4591" w:rsidR="00157ADC" w:rsidRDefault="00157ADC" w:rsidP="00157ADC">
      <w:pPr>
        <w:spacing w:line="480" w:lineRule="auto"/>
        <w:jc w:val="center"/>
        <w:rPr>
          <w:rFonts w:eastAsiaTheme="minorHAnsi"/>
          <w:u w:val="single"/>
        </w:rPr>
      </w:pPr>
      <w:r w:rsidRPr="00157ADC">
        <w:rPr>
          <w:rFonts w:eastAsiaTheme="minorHAnsi"/>
          <w:u w:val="single"/>
        </w:rPr>
        <w:t xml:space="preserve">DOCUMENT  </w:t>
      </w:r>
      <w:r w:rsidR="00AF723A">
        <w:rPr>
          <w:rFonts w:eastAsiaTheme="minorHAnsi"/>
          <w:u w:val="single"/>
        </w:rPr>
        <w:t xml:space="preserve">NOW  </w:t>
      </w:r>
      <w:r w:rsidRPr="00157ADC">
        <w:rPr>
          <w:rFonts w:eastAsiaTheme="minorHAnsi"/>
          <w:u w:val="single"/>
        </w:rPr>
        <w:t>AVAILABLE</w:t>
      </w:r>
    </w:p>
    <w:p w14:paraId="0362A2B8" w14:textId="77777777" w:rsidR="00974032" w:rsidRDefault="00974032" w:rsidP="00157ADC">
      <w:pPr>
        <w:spacing w:line="480" w:lineRule="auto"/>
        <w:rPr>
          <w:rFonts w:eastAsiaTheme="minorHAnsi"/>
        </w:rPr>
      </w:pPr>
    </w:p>
    <w:p w14:paraId="73520EAC" w14:textId="26D74989" w:rsidR="00157ADC" w:rsidRDefault="00157ADC" w:rsidP="00157ADC">
      <w:pPr>
        <w:spacing w:line="480" w:lineRule="auto"/>
        <w:rPr>
          <w:rFonts w:eastAsiaTheme="minorHAnsi"/>
        </w:rPr>
      </w:pPr>
      <w:r w:rsidRPr="00157ADC">
        <w:rPr>
          <w:rFonts w:eastAsiaTheme="minorHAnsi"/>
        </w:rPr>
        <w:tab/>
        <w:t xml:space="preserve">IRVING, Texas </w:t>
      </w:r>
      <w:r w:rsidR="002B0C83">
        <w:rPr>
          <w:rFonts w:eastAsiaTheme="minorHAnsi"/>
        </w:rPr>
        <w:t>– September 14, 2021</w:t>
      </w:r>
      <w:r w:rsidRPr="00157ADC">
        <w:rPr>
          <w:rFonts w:eastAsiaTheme="minorHAnsi"/>
          <w:b/>
          <w:bCs/>
        </w:rPr>
        <w:t xml:space="preserve"> </w:t>
      </w:r>
      <w:r w:rsidRPr="00157ADC">
        <w:rPr>
          <w:rFonts w:eastAsiaTheme="minorHAnsi"/>
        </w:rPr>
        <w:t xml:space="preserve">-  The Plastics Pipe Institute, Inc. (PPI)  Power &amp; Communications Division has released a new Technical Note to assist conduit installers in calculating safe pulling loads </w:t>
      </w:r>
      <w:r>
        <w:rPr>
          <w:rFonts w:eastAsiaTheme="minorHAnsi"/>
        </w:rPr>
        <w:t xml:space="preserve">in order </w:t>
      </w:r>
      <w:r w:rsidRPr="00157ADC">
        <w:rPr>
          <w:rFonts w:eastAsiaTheme="minorHAnsi"/>
        </w:rPr>
        <w:t xml:space="preserve">to avoid damaging high-density polyethylene (HDPE) conduit.   TN-63 is available for free at </w:t>
      </w:r>
      <w:hyperlink r:id="rId9" w:history="1">
        <w:r w:rsidRPr="00157ADC">
          <w:rPr>
            <w:rStyle w:val="Hyperlink"/>
            <w:rFonts w:eastAsiaTheme="minorHAnsi"/>
          </w:rPr>
          <w:t>https://plasticpipe.org/pdf/tn-63-2021.</w:t>
        </w:r>
        <w:r w:rsidRPr="00157ADC">
          <w:rPr>
            <w:rStyle w:val="Hyperlink"/>
            <w:rFonts w:eastAsiaTheme="minorHAnsi"/>
            <w:u w:val="none"/>
          </w:rPr>
          <w:t>pdf</w:t>
        </w:r>
      </w:hyperlink>
      <w:r>
        <w:rPr>
          <w:rFonts w:eastAsiaTheme="minorHAnsi"/>
          <w:color w:val="0563C1" w:themeColor="hyperlink"/>
        </w:rPr>
        <w:t xml:space="preserve">  </w:t>
      </w:r>
      <w:r w:rsidRPr="00157ADC">
        <w:rPr>
          <w:rFonts w:eastAsiaTheme="minorHAnsi"/>
        </w:rPr>
        <w:t>PPI is the major North American trade association representing the plastic pipe industry.</w:t>
      </w:r>
    </w:p>
    <w:p w14:paraId="0CB28599" w14:textId="1BD8C09E" w:rsidR="00157ADC" w:rsidRPr="00157ADC" w:rsidRDefault="00157ADC" w:rsidP="00157ADC">
      <w:pPr>
        <w:spacing w:line="480" w:lineRule="auto"/>
        <w:ind w:firstLine="720"/>
        <w:rPr>
          <w:rFonts w:eastAsiaTheme="minorHAnsi"/>
        </w:rPr>
      </w:pPr>
      <w:r w:rsidRPr="00157ADC">
        <w:rPr>
          <w:rFonts w:eastAsiaTheme="minorHAnsi"/>
        </w:rPr>
        <w:t>“</w:t>
      </w:r>
      <w:r w:rsidR="00974032" w:rsidRPr="00974032">
        <w:rPr>
          <w:rFonts w:eastAsiaTheme="minorHAnsi"/>
        </w:rPr>
        <w:t>When pulling HDPE conduit into place, an increasing axial tensile load will be exerted on the conduit</w:t>
      </w:r>
      <w:r w:rsidR="00974032">
        <w:rPr>
          <w:rFonts w:eastAsiaTheme="minorHAnsi"/>
        </w:rPr>
        <w:t xml:space="preserve">,” </w:t>
      </w:r>
      <w:r w:rsidR="00974032" w:rsidRPr="00974032">
        <w:rPr>
          <w:rFonts w:eastAsiaTheme="minorHAnsi"/>
        </w:rPr>
        <w:t>explained Patrick Vibien, P, Eng., director of engineering for the PCD</w:t>
      </w:r>
      <w:r w:rsidR="00974032">
        <w:rPr>
          <w:rFonts w:eastAsiaTheme="minorHAnsi"/>
        </w:rPr>
        <w:t xml:space="preserve">. </w:t>
      </w:r>
      <w:r w:rsidR="00974032" w:rsidRPr="00974032">
        <w:rPr>
          <w:rFonts w:eastAsiaTheme="minorHAnsi"/>
        </w:rPr>
        <w:t xml:space="preserve"> </w:t>
      </w:r>
      <w:r w:rsidR="00974032">
        <w:rPr>
          <w:rFonts w:eastAsiaTheme="minorHAnsi"/>
        </w:rPr>
        <w:t>“</w:t>
      </w:r>
      <w:r w:rsidRPr="00157ADC">
        <w:rPr>
          <w:rFonts w:eastAsiaTheme="minorHAnsi"/>
        </w:rPr>
        <w:t>If the Safe Pull Strength is exceeded during installation</w:t>
      </w:r>
      <w:r w:rsidR="00974032">
        <w:rPr>
          <w:rFonts w:eastAsiaTheme="minorHAnsi"/>
        </w:rPr>
        <w:t xml:space="preserve"> </w:t>
      </w:r>
      <w:r w:rsidRPr="00157ADC">
        <w:rPr>
          <w:rFonts w:eastAsiaTheme="minorHAnsi"/>
        </w:rPr>
        <w:t xml:space="preserve">the conduit may permanently deform at some location along its length.  This necking down may create an obstruction within the conduit such that when the cable is later pulled into place, it is be blocked from passing through this section.  Knowing the Safe Pull Strength will protect the conduit during installation and the investment in the installation.” </w:t>
      </w:r>
    </w:p>
    <w:p w14:paraId="2E09D186" w14:textId="4BD47640" w:rsidR="00157ADC" w:rsidRDefault="00157ADC" w:rsidP="00157ADC">
      <w:pPr>
        <w:spacing w:line="480" w:lineRule="auto"/>
        <w:ind w:firstLine="720"/>
        <w:rPr>
          <w:rFonts w:eastAsiaTheme="minorHAnsi"/>
        </w:rPr>
      </w:pPr>
      <w:r w:rsidRPr="00157ADC">
        <w:rPr>
          <w:rFonts w:eastAsiaTheme="minorHAnsi"/>
        </w:rPr>
        <w:t xml:space="preserve">PPI TN-63 </w:t>
      </w:r>
      <w:r w:rsidRPr="00157ADC">
        <w:rPr>
          <w:rFonts w:eastAsiaTheme="minorHAnsi"/>
          <w:i/>
          <w:iCs/>
        </w:rPr>
        <w:t xml:space="preserve">Safe Pull Strength Calculations </w:t>
      </w:r>
      <w:r w:rsidR="00AF723A" w:rsidRPr="00157ADC">
        <w:rPr>
          <w:rFonts w:eastAsiaTheme="minorHAnsi"/>
          <w:i/>
          <w:iCs/>
        </w:rPr>
        <w:t>for</w:t>
      </w:r>
      <w:r w:rsidRPr="00157ADC">
        <w:rPr>
          <w:rFonts w:eastAsiaTheme="minorHAnsi"/>
          <w:i/>
          <w:iCs/>
        </w:rPr>
        <w:t xml:space="preserve"> Conduit: including Derating Factors</w:t>
      </w:r>
      <w:r w:rsidRPr="00157ADC">
        <w:rPr>
          <w:rFonts w:eastAsiaTheme="minorHAnsi"/>
        </w:rPr>
        <w:t xml:space="preserve"> provides not only the equations used to calculated the Safe Pull Strength (SPS) for HDPE conduit but easy-reference tables of pre-calculated SPS values for typical industry HDPE conduit wall diameters and thickness types.  Guidance is also provided on how to derate the Safe Pull Strength for elevated temperature installation and time-under-tension considerations. </w:t>
      </w:r>
    </w:p>
    <w:p w14:paraId="0CEADB22" w14:textId="367068CA" w:rsidR="00157ADC" w:rsidRDefault="00157ADC" w:rsidP="00157ADC">
      <w:pPr>
        <w:spacing w:line="480" w:lineRule="auto"/>
        <w:jc w:val="center"/>
        <w:rPr>
          <w:rFonts w:eastAsiaTheme="minorHAnsi"/>
        </w:rPr>
      </w:pPr>
      <w:r>
        <w:rPr>
          <w:rFonts w:eastAsiaTheme="minorHAnsi"/>
        </w:rPr>
        <w:t>-more-</w:t>
      </w:r>
    </w:p>
    <w:p w14:paraId="1170DF5C" w14:textId="47B4626C" w:rsidR="00157ADC" w:rsidRPr="00157ADC" w:rsidRDefault="00157ADC" w:rsidP="00157ADC">
      <w:pPr>
        <w:spacing w:line="480" w:lineRule="auto"/>
        <w:jc w:val="center"/>
        <w:rPr>
          <w:rFonts w:eastAsiaTheme="minorHAnsi"/>
        </w:rPr>
      </w:pPr>
      <w:r>
        <w:rPr>
          <w:rFonts w:eastAsiaTheme="minorHAnsi"/>
        </w:rPr>
        <w:lastRenderedPageBreak/>
        <w:t>-2-</w:t>
      </w:r>
    </w:p>
    <w:p w14:paraId="2BDAE118" w14:textId="77777777" w:rsidR="00157ADC" w:rsidRPr="00157ADC" w:rsidRDefault="00157ADC" w:rsidP="00157ADC">
      <w:pPr>
        <w:spacing w:line="480" w:lineRule="auto"/>
        <w:ind w:firstLine="720"/>
        <w:rPr>
          <w:rFonts w:eastAsiaTheme="minorHAnsi"/>
        </w:rPr>
      </w:pPr>
      <w:r w:rsidRPr="00157ADC">
        <w:rPr>
          <w:rFonts w:eastAsiaTheme="minorHAnsi"/>
        </w:rPr>
        <w:t xml:space="preserve">Installers can quickly look-up the Safe Pull Strength for the conduit they are using from the tables, derating it for actual ambient temperature conditions and the time under tension, for use with an in-line tensiometer or in selecting the breakaway link with the correct rating.  The SPS values already include the appropriate safety factor.   </w:t>
      </w:r>
    </w:p>
    <w:p w14:paraId="06FA309C" w14:textId="77777777" w:rsidR="00157ADC" w:rsidRPr="00157ADC" w:rsidRDefault="00157ADC" w:rsidP="00157ADC">
      <w:pPr>
        <w:spacing w:line="480" w:lineRule="auto"/>
        <w:ind w:firstLine="720"/>
        <w:rPr>
          <w:rFonts w:eastAsiaTheme="minorHAnsi"/>
        </w:rPr>
      </w:pPr>
      <w:r w:rsidRPr="00157ADC">
        <w:rPr>
          <w:rFonts w:eastAsiaTheme="minorHAnsi"/>
        </w:rPr>
        <w:t xml:space="preserve">TN-63 is applicable to any pulled into place installation, including open trench and Horizontal Directional Drilling (HDD) methods.  Tables of SPS values are provided for industry standard DR and Schedule wall types, up to six inches in diameter.  An explanation the behavior of conduit under load is provided and guidance on installation considerations is included. </w:t>
      </w:r>
    </w:p>
    <w:p w14:paraId="472790CF" w14:textId="658B5B0E" w:rsidR="00157ADC" w:rsidRDefault="00157ADC" w:rsidP="00157ADC">
      <w:pPr>
        <w:spacing w:line="480" w:lineRule="auto"/>
        <w:ind w:firstLine="720"/>
        <w:rPr>
          <w:rFonts w:eastAsiaTheme="minorHAnsi"/>
        </w:rPr>
      </w:pPr>
      <w:r w:rsidRPr="00157ADC">
        <w:rPr>
          <w:rFonts w:eastAsiaTheme="minorHAnsi"/>
        </w:rPr>
        <w:t xml:space="preserve">Published on PPI’s website </w:t>
      </w:r>
      <w:r>
        <w:rPr>
          <w:rFonts w:eastAsiaTheme="minorHAnsi"/>
        </w:rPr>
        <w:t>T</w:t>
      </w:r>
      <w:r w:rsidRPr="00157ADC">
        <w:rPr>
          <w:rFonts w:eastAsiaTheme="minorHAnsi"/>
        </w:rPr>
        <w:t xml:space="preserve">N-63, is one of several PPI documents related to the design and installation of HDPE conduit which are published as a service to the industry.  </w:t>
      </w:r>
      <w:r>
        <w:rPr>
          <w:rFonts w:eastAsiaTheme="minorHAnsi"/>
        </w:rPr>
        <w:t>T</w:t>
      </w:r>
      <w:r w:rsidRPr="00157ADC">
        <w:rPr>
          <w:rFonts w:eastAsiaTheme="minorHAnsi"/>
        </w:rPr>
        <w:t xml:space="preserve">he PPI </w:t>
      </w:r>
      <w:hyperlink r:id="rId10" w:history="1">
        <w:r w:rsidRPr="00157ADC">
          <w:rPr>
            <w:rFonts w:eastAsiaTheme="minorHAnsi"/>
            <w:color w:val="0563C1" w:themeColor="hyperlink"/>
            <w:u w:val="single"/>
          </w:rPr>
          <w:t>Conduit Design Calculator</w:t>
        </w:r>
      </w:hyperlink>
      <w:r w:rsidRPr="00157ADC">
        <w:rPr>
          <w:rFonts w:eastAsiaTheme="minorHAnsi"/>
        </w:rPr>
        <w:t xml:space="preserve"> </w:t>
      </w:r>
      <w:r>
        <w:rPr>
          <w:rFonts w:eastAsiaTheme="minorHAnsi"/>
        </w:rPr>
        <w:t>provides</w:t>
      </w:r>
      <w:r w:rsidRPr="00157ADC">
        <w:rPr>
          <w:rFonts w:eastAsiaTheme="minorHAnsi"/>
        </w:rPr>
        <w:t xml:space="preserve"> assistance in selecting HDPE conduit types for mini-HDD applications. </w:t>
      </w:r>
    </w:p>
    <w:p w14:paraId="4469943C" w14:textId="3CF91BF1" w:rsidR="00157ADC" w:rsidRDefault="00157ADC" w:rsidP="00157ADC">
      <w:pPr>
        <w:spacing w:line="480" w:lineRule="auto"/>
        <w:ind w:firstLine="720"/>
      </w:pPr>
      <w:r w:rsidRPr="00F07F8A">
        <w:t xml:space="preserve">More information can be found at </w:t>
      </w:r>
      <w:r>
        <w:t>www.plasticpipe.org.</w:t>
      </w:r>
    </w:p>
    <w:p w14:paraId="21689BA3" w14:textId="1025FA9D" w:rsidR="00157ADC" w:rsidRDefault="00157ADC" w:rsidP="00AF723A">
      <w:pPr>
        <w:spacing w:line="480" w:lineRule="auto"/>
        <w:jc w:val="center"/>
      </w:pPr>
      <w:r w:rsidRPr="00802216">
        <w:t>#</w:t>
      </w:r>
      <w:r w:rsidRPr="00802216">
        <w:tab/>
      </w:r>
      <w:r w:rsidRPr="00802216">
        <w:tab/>
        <w:t>#</w:t>
      </w:r>
      <w:r w:rsidRPr="00802216">
        <w:tab/>
      </w:r>
      <w:r w:rsidRPr="00802216">
        <w:tab/>
        <w:t>#</w:t>
      </w:r>
    </w:p>
    <w:p w14:paraId="79E3729B" w14:textId="7392BEC3" w:rsidR="00157ADC" w:rsidRPr="00157ADC" w:rsidRDefault="00AF723A" w:rsidP="00AF723A">
      <w:pPr>
        <w:spacing w:after="160" w:line="259" w:lineRule="auto"/>
        <w:jc w:val="center"/>
        <w:rPr>
          <w:rFonts w:eastAsiaTheme="minorHAnsi"/>
        </w:rPr>
      </w:pPr>
      <w:r>
        <w:rPr>
          <w:rFonts w:eastAsiaTheme="minorHAnsi"/>
          <w:noProof/>
        </w:rPr>
        <w:drawing>
          <wp:inline distT="0" distB="0" distL="0" distR="0" wp14:anchorId="53DED088" wp14:editId="682B68C7">
            <wp:extent cx="2275419" cy="24466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533" cy="2461814"/>
                    </a:xfrm>
                    <a:prstGeom prst="rect">
                      <a:avLst/>
                    </a:prstGeom>
                  </pic:spPr>
                </pic:pic>
              </a:graphicData>
            </a:graphic>
          </wp:inline>
        </w:drawing>
      </w:r>
    </w:p>
    <w:p w14:paraId="325C6CC2" w14:textId="1D6BAA53" w:rsidR="00335098" w:rsidRPr="00AF723A" w:rsidRDefault="004572AE" w:rsidP="00AF723A">
      <w:pPr>
        <w:rPr>
          <w:b/>
          <w:bCs/>
          <w:i/>
          <w:sz w:val="20"/>
          <w:szCs w:val="20"/>
          <w:u w:val="single"/>
        </w:rPr>
      </w:pPr>
      <w:bookmarkStart w:id="0" w:name="_Hlk51741902"/>
      <w:r w:rsidRPr="00AF723A">
        <w:rPr>
          <w:rFonts w:eastAsiaTheme="minorHAnsi"/>
          <w:b/>
          <w:bCs/>
          <w:i/>
          <w:iCs/>
          <w:sz w:val="20"/>
          <w:szCs w:val="20"/>
          <w:u w:val="single"/>
        </w:rPr>
        <w:t>About PPI</w:t>
      </w:r>
      <w:r w:rsidRPr="00AF723A">
        <w:rPr>
          <w:rFonts w:eastAsiaTheme="minorHAnsi"/>
          <w:i/>
          <w:iCs/>
          <w:sz w:val="20"/>
          <w:szCs w:val="20"/>
        </w:rPr>
        <w:t xml:space="preserve">: </w:t>
      </w:r>
      <w:r w:rsidRPr="00AF723A">
        <w:rPr>
          <w:rFonts w:eastAsiaTheme="minorHAnsi"/>
          <w:i/>
          <w:iCs/>
          <w:sz w:val="20"/>
          <w:szCs w:val="20"/>
        </w:rPr>
        <w:br/>
        <w:t xml:space="preserve">The Plastics Pipe Institute, Inc. (PPI) is the major North American trade association representing </w:t>
      </w:r>
      <w:r w:rsidR="00EA56A3" w:rsidRPr="00AF723A">
        <w:rPr>
          <w:rFonts w:eastAsiaTheme="minorHAnsi"/>
          <w:i/>
          <w:iCs/>
          <w:sz w:val="20"/>
          <w:szCs w:val="20"/>
        </w:rPr>
        <w:t>th</w:t>
      </w:r>
      <w:r w:rsidRPr="00AF723A">
        <w:rPr>
          <w:rFonts w:eastAsiaTheme="minorHAnsi"/>
          <w:i/>
          <w:iCs/>
          <w:sz w:val="20"/>
          <w:szCs w:val="20"/>
        </w:rPr>
        <w:t>e plastic pipe industry and is dedicated to promoting plastic as the materials of choice for pipe and conduit applications.  PPI is the premier technical, engineering and industry knowledge resource publishing data for use in the development and design of plastic pipe and conduit systems.  Additionally, PPI collaborates with industry organizations that set standards for manufacturing practices and installation methods.</w:t>
      </w:r>
      <w:bookmarkEnd w:id="0"/>
    </w:p>
    <w:sectPr w:rsidR="00335098" w:rsidRPr="00AF723A" w:rsidSect="000A7B26">
      <w:headerReference w:type="even" r:id="rId12"/>
      <w:headerReference w:type="default" r:id="rId13"/>
      <w:footerReference w:type="even" r:id="rId14"/>
      <w:footerReference w:type="default" r:id="rId15"/>
      <w:headerReference w:type="first" r:id="rId16"/>
      <w:footerReference w:type="first" r:id="rId17"/>
      <w:pgSz w:w="12240" w:h="15840"/>
      <w:pgMar w:top="432"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1CAE" w14:textId="77777777" w:rsidR="00363546" w:rsidRDefault="00363546" w:rsidP="00256A26">
      <w:r>
        <w:separator/>
      </w:r>
    </w:p>
  </w:endnote>
  <w:endnote w:type="continuationSeparator" w:id="0">
    <w:p w14:paraId="5543FEA4" w14:textId="77777777" w:rsidR="00363546" w:rsidRDefault="00363546" w:rsidP="002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3666" w14:textId="77777777" w:rsidR="00256A26" w:rsidRDefault="00256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C3A8" w14:textId="77777777" w:rsidR="00256A26" w:rsidRDefault="00256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6B49" w14:textId="77777777" w:rsidR="00256A26" w:rsidRDefault="00256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2B8E" w14:textId="77777777" w:rsidR="00363546" w:rsidRDefault="00363546" w:rsidP="00256A26">
      <w:r>
        <w:separator/>
      </w:r>
    </w:p>
  </w:footnote>
  <w:footnote w:type="continuationSeparator" w:id="0">
    <w:p w14:paraId="2EC5D47A" w14:textId="77777777" w:rsidR="00363546" w:rsidRDefault="00363546" w:rsidP="002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F026" w14:textId="0E788FF9" w:rsidR="00256A26" w:rsidRDefault="00256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7689" w14:textId="4238059E" w:rsidR="00256A26" w:rsidRDefault="00256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0ED9" w14:textId="7A1EE65E" w:rsidR="00256A26" w:rsidRDefault="00256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7BE"/>
    <w:multiLevelType w:val="hybridMultilevel"/>
    <w:tmpl w:val="C258242E"/>
    <w:lvl w:ilvl="0" w:tplc="04090001">
      <w:start w:val="1"/>
      <w:numFmt w:val="bullet"/>
      <w:lvlText w:val=""/>
      <w:lvlJc w:val="left"/>
      <w:pPr>
        <w:ind w:left="446" w:hanging="360"/>
      </w:pPr>
      <w:rPr>
        <w:rFonts w:ascii="Symbol" w:hAnsi="Symbol"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EB60B88"/>
    <w:multiLevelType w:val="hybridMultilevel"/>
    <w:tmpl w:val="1130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0544F"/>
    <w:multiLevelType w:val="hybridMultilevel"/>
    <w:tmpl w:val="39FAB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75281D"/>
    <w:multiLevelType w:val="hybridMultilevel"/>
    <w:tmpl w:val="5016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B06"/>
    <w:multiLevelType w:val="hybridMultilevel"/>
    <w:tmpl w:val="96CC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126ED"/>
    <w:multiLevelType w:val="hybridMultilevel"/>
    <w:tmpl w:val="101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040A"/>
    <w:multiLevelType w:val="hybridMultilevel"/>
    <w:tmpl w:val="B134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E641B"/>
    <w:multiLevelType w:val="hybridMultilevel"/>
    <w:tmpl w:val="670A6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50"/>
    <w:rsid w:val="00010A35"/>
    <w:rsid w:val="000113FF"/>
    <w:rsid w:val="000132CF"/>
    <w:rsid w:val="000256E2"/>
    <w:rsid w:val="00031477"/>
    <w:rsid w:val="00040042"/>
    <w:rsid w:val="00057EB3"/>
    <w:rsid w:val="00071C84"/>
    <w:rsid w:val="00075B35"/>
    <w:rsid w:val="00080815"/>
    <w:rsid w:val="000854E1"/>
    <w:rsid w:val="000927ED"/>
    <w:rsid w:val="000A7B26"/>
    <w:rsid w:val="000B05AE"/>
    <w:rsid w:val="000E0B11"/>
    <w:rsid w:val="000F46AA"/>
    <w:rsid w:val="001164D4"/>
    <w:rsid w:val="00122C5D"/>
    <w:rsid w:val="001254D7"/>
    <w:rsid w:val="0013064D"/>
    <w:rsid w:val="001327DC"/>
    <w:rsid w:val="00134EDC"/>
    <w:rsid w:val="00157ADC"/>
    <w:rsid w:val="00163BE4"/>
    <w:rsid w:val="00163D09"/>
    <w:rsid w:val="00164452"/>
    <w:rsid w:val="00166F45"/>
    <w:rsid w:val="0017160D"/>
    <w:rsid w:val="001758F1"/>
    <w:rsid w:val="001762AA"/>
    <w:rsid w:val="00182AAD"/>
    <w:rsid w:val="001A00F0"/>
    <w:rsid w:val="001C3463"/>
    <w:rsid w:val="001C3DFD"/>
    <w:rsid w:val="001D526A"/>
    <w:rsid w:val="001E5B25"/>
    <w:rsid w:val="001F0514"/>
    <w:rsid w:val="002034F2"/>
    <w:rsid w:val="0021783C"/>
    <w:rsid w:val="00225AA7"/>
    <w:rsid w:val="0023381B"/>
    <w:rsid w:val="0023395D"/>
    <w:rsid w:val="00236C8E"/>
    <w:rsid w:val="00254DDC"/>
    <w:rsid w:val="00256576"/>
    <w:rsid w:val="00256A26"/>
    <w:rsid w:val="00284BC0"/>
    <w:rsid w:val="002A7171"/>
    <w:rsid w:val="002A7B98"/>
    <w:rsid w:val="002B0C83"/>
    <w:rsid w:val="002B5F2D"/>
    <w:rsid w:val="002C3C5A"/>
    <w:rsid w:val="002D6383"/>
    <w:rsid w:val="003037A5"/>
    <w:rsid w:val="00306093"/>
    <w:rsid w:val="00316FED"/>
    <w:rsid w:val="00320271"/>
    <w:rsid w:val="0033303C"/>
    <w:rsid w:val="00335098"/>
    <w:rsid w:val="00337026"/>
    <w:rsid w:val="00346C15"/>
    <w:rsid w:val="00347765"/>
    <w:rsid w:val="00354FFF"/>
    <w:rsid w:val="00362AB5"/>
    <w:rsid w:val="00363546"/>
    <w:rsid w:val="003637BB"/>
    <w:rsid w:val="00372CEB"/>
    <w:rsid w:val="00376708"/>
    <w:rsid w:val="0038497D"/>
    <w:rsid w:val="00386389"/>
    <w:rsid w:val="00390B40"/>
    <w:rsid w:val="00395C44"/>
    <w:rsid w:val="00397E6B"/>
    <w:rsid w:val="003A0D72"/>
    <w:rsid w:val="003A1DE9"/>
    <w:rsid w:val="003A2CEB"/>
    <w:rsid w:val="003F152E"/>
    <w:rsid w:val="003F2EFD"/>
    <w:rsid w:val="003F3491"/>
    <w:rsid w:val="003F3B62"/>
    <w:rsid w:val="003F6279"/>
    <w:rsid w:val="003F7DAA"/>
    <w:rsid w:val="004047D9"/>
    <w:rsid w:val="00417B8C"/>
    <w:rsid w:val="004216CD"/>
    <w:rsid w:val="004304C8"/>
    <w:rsid w:val="00431EED"/>
    <w:rsid w:val="004572AE"/>
    <w:rsid w:val="0047212F"/>
    <w:rsid w:val="00482FE2"/>
    <w:rsid w:val="00491B66"/>
    <w:rsid w:val="004A586B"/>
    <w:rsid w:val="004B6F28"/>
    <w:rsid w:val="004C2D40"/>
    <w:rsid w:val="004D1709"/>
    <w:rsid w:val="004D1EB7"/>
    <w:rsid w:val="004D74E6"/>
    <w:rsid w:val="004D7D97"/>
    <w:rsid w:val="004F7E28"/>
    <w:rsid w:val="005020CB"/>
    <w:rsid w:val="0050334B"/>
    <w:rsid w:val="00512E01"/>
    <w:rsid w:val="00537C32"/>
    <w:rsid w:val="00540EA8"/>
    <w:rsid w:val="0054434E"/>
    <w:rsid w:val="005445F4"/>
    <w:rsid w:val="005453F1"/>
    <w:rsid w:val="00562E07"/>
    <w:rsid w:val="0057690C"/>
    <w:rsid w:val="005A629A"/>
    <w:rsid w:val="005B401F"/>
    <w:rsid w:val="005B4F60"/>
    <w:rsid w:val="005C1593"/>
    <w:rsid w:val="005C3751"/>
    <w:rsid w:val="005C6FB4"/>
    <w:rsid w:val="00610F0D"/>
    <w:rsid w:val="006204B3"/>
    <w:rsid w:val="00626347"/>
    <w:rsid w:val="00626542"/>
    <w:rsid w:val="00637F0D"/>
    <w:rsid w:val="006437AD"/>
    <w:rsid w:val="00643AB5"/>
    <w:rsid w:val="00660CB1"/>
    <w:rsid w:val="00665666"/>
    <w:rsid w:val="00666083"/>
    <w:rsid w:val="006704A6"/>
    <w:rsid w:val="00671DC1"/>
    <w:rsid w:val="0067661B"/>
    <w:rsid w:val="00676887"/>
    <w:rsid w:val="00677B33"/>
    <w:rsid w:val="006849EB"/>
    <w:rsid w:val="00684A1C"/>
    <w:rsid w:val="006D10B7"/>
    <w:rsid w:val="006D60AE"/>
    <w:rsid w:val="006D73AE"/>
    <w:rsid w:val="00703B86"/>
    <w:rsid w:val="007173F8"/>
    <w:rsid w:val="00732048"/>
    <w:rsid w:val="00732C4E"/>
    <w:rsid w:val="00741519"/>
    <w:rsid w:val="00742445"/>
    <w:rsid w:val="00743E3D"/>
    <w:rsid w:val="00757B57"/>
    <w:rsid w:val="00774C7A"/>
    <w:rsid w:val="007761AD"/>
    <w:rsid w:val="0077622D"/>
    <w:rsid w:val="007825DA"/>
    <w:rsid w:val="007A4AF0"/>
    <w:rsid w:val="007A60CB"/>
    <w:rsid w:val="007D0A70"/>
    <w:rsid w:val="007D1BE5"/>
    <w:rsid w:val="007E0BD3"/>
    <w:rsid w:val="007E71BA"/>
    <w:rsid w:val="007F04D4"/>
    <w:rsid w:val="007F2E40"/>
    <w:rsid w:val="007F441D"/>
    <w:rsid w:val="0080038A"/>
    <w:rsid w:val="00802216"/>
    <w:rsid w:val="0080410A"/>
    <w:rsid w:val="008148D5"/>
    <w:rsid w:val="008224DF"/>
    <w:rsid w:val="00826ED5"/>
    <w:rsid w:val="008375B9"/>
    <w:rsid w:val="00845B9E"/>
    <w:rsid w:val="0084685B"/>
    <w:rsid w:val="00855937"/>
    <w:rsid w:val="008559E5"/>
    <w:rsid w:val="00865921"/>
    <w:rsid w:val="00894CC3"/>
    <w:rsid w:val="00895734"/>
    <w:rsid w:val="0089599A"/>
    <w:rsid w:val="0089765F"/>
    <w:rsid w:val="008A2422"/>
    <w:rsid w:val="008A5139"/>
    <w:rsid w:val="008B4DD1"/>
    <w:rsid w:val="008D1C19"/>
    <w:rsid w:val="008D2CC9"/>
    <w:rsid w:val="008D66B2"/>
    <w:rsid w:val="008E3336"/>
    <w:rsid w:val="008E530B"/>
    <w:rsid w:val="008F7793"/>
    <w:rsid w:val="009003F9"/>
    <w:rsid w:val="009153F7"/>
    <w:rsid w:val="00933DE8"/>
    <w:rsid w:val="009426B3"/>
    <w:rsid w:val="0096531C"/>
    <w:rsid w:val="00971E38"/>
    <w:rsid w:val="00974032"/>
    <w:rsid w:val="009747D9"/>
    <w:rsid w:val="009774F8"/>
    <w:rsid w:val="009826E8"/>
    <w:rsid w:val="00983361"/>
    <w:rsid w:val="00990204"/>
    <w:rsid w:val="009A09F2"/>
    <w:rsid w:val="009B0A4B"/>
    <w:rsid w:val="009B2B23"/>
    <w:rsid w:val="009B4A6F"/>
    <w:rsid w:val="009C0A52"/>
    <w:rsid w:val="009D45AE"/>
    <w:rsid w:val="009E3DE9"/>
    <w:rsid w:val="009E4CD7"/>
    <w:rsid w:val="00A11747"/>
    <w:rsid w:val="00A14E59"/>
    <w:rsid w:val="00A262C9"/>
    <w:rsid w:val="00A33623"/>
    <w:rsid w:val="00A33625"/>
    <w:rsid w:val="00A44E6A"/>
    <w:rsid w:val="00A4519E"/>
    <w:rsid w:val="00A57A32"/>
    <w:rsid w:val="00A62712"/>
    <w:rsid w:val="00A70163"/>
    <w:rsid w:val="00A86017"/>
    <w:rsid w:val="00A87DD2"/>
    <w:rsid w:val="00A94A48"/>
    <w:rsid w:val="00AA2EC7"/>
    <w:rsid w:val="00AA45FC"/>
    <w:rsid w:val="00AA606E"/>
    <w:rsid w:val="00AD4CA9"/>
    <w:rsid w:val="00AE1333"/>
    <w:rsid w:val="00AE3B93"/>
    <w:rsid w:val="00AF0484"/>
    <w:rsid w:val="00AF723A"/>
    <w:rsid w:val="00B30751"/>
    <w:rsid w:val="00B46D9A"/>
    <w:rsid w:val="00B4715F"/>
    <w:rsid w:val="00B51D33"/>
    <w:rsid w:val="00B52E28"/>
    <w:rsid w:val="00B61383"/>
    <w:rsid w:val="00B67464"/>
    <w:rsid w:val="00B77EC8"/>
    <w:rsid w:val="00B83133"/>
    <w:rsid w:val="00B92AB8"/>
    <w:rsid w:val="00BB0AE8"/>
    <w:rsid w:val="00BC00E7"/>
    <w:rsid w:val="00BC34C0"/>
    <w:rsid w:val="00C0245F"/>
    <w:rsid w:val="00C04C61"/>
    <w:rsid w:val="00C06AE0"/>
    <w:rsid w:val="00C07C2C"/>
    <w:rsid w:val="00C21450"/>
    <w:rsid w:val="00C51D75"/>
    <w:rsid w:val="00C52461"/>
    <w:rsid w:val="00C5454D"/>
    <w:rsid w:val="00C55EAD"/>
    <w:rsid w:val="00C602D8"/>
    <w:rsid w:val="00C62C05"/>
    <w:rsid w:val="00C70013"/>
    <w:rsid w:val="00C7013E"/>
    <w:rsid w:val="00C862C0"/>
    <w:rsid w:val="00CA4A2C"/>
    <w:rsid w:val="00CE0B67"/>
    <w:rsid w:val="00CF0F05"/>
    <w:rsid w:val="00CF1E0F"/>
    <w:rsid w:val="00CF6330"/>
    <w:rsid w:val="00D41D73"/>
    <w:rsid w:val="00D42B8B"/>
    <w:rsid w:val="00D469CA"/>
    <w:rsid w:val="00D53B74"/>
    <w:rsid w:val="00D560A1"/>
    <w:rsid w:val="00D674AB"/>
    <w:rsid w:val="00D67C50"/>
    <w:rsid w:val="00D75AD1"/>
    <w:rsid w:val="00D828DB"/>
    <w:rsid w:val="00DA1B15"/>
    <w:rsid w:val="00DB3F6A"/>
    <w:rsid w:val="00DB51C0"/>
    <w:rsid w:val="00DB6063"/>
    <w:rsid w:val="00DE1B4B"/>
    <w:rsid w:val="00DE3A96"/>
    <w:rsid w:val="00E1321D"/>
    <w:rsid w:val="00E14372"/>
    <w:rsid w:val="00E21375"/>
    <w:rsid w:val="00E23677"/>
    <w:rsid w:val="00E263FA"/>
    <w:rsid w:val="00E53713"/>
    <w:rsid w:val="00E5584D"/>
    <w:rsid w:val="00E6094F"/>
    <w:rsid w:val="00E712A7"/>
    <w:rsid w:val="00E82019"/>
    <w:rsid w:val="00E83049"/>
    <w:rsid w:val="00E84834"/>
    <w:rsid w:val="00E97CE2"/>
    <w:rsid w:val="00EA037D"/>
    <w:rsid w:val="00EA26D2"/>
    <w:rsid w:val="00EA2F6D"/>
    <w:rsid w:val="00EA56A3"/>
    <w:rsid w:val="00EA799D"/>
    <w:rsid w:val="00EA7CF9"/>
    <w:rsid w:val="00EB2441"/>
    <w:rsid w:val="00EB458E"/>
    <w:rsid w:val="00EC7E5A"/>
    <w:rsid w:val="00EE17DF"/>
    <w:rsid w:val="00EF2EFE"/>
    <w:rsid w:val="00EF3664"/>
    <w:rsid w:val="00F07F8A"/>
    <w:rsid w:val="00F40462"/>
    <w:rsid w:val="00F40B30"/>
    <w:rsid w:val="00F40DC7"/>
    <w:rsid w:val="00F50FEA"/>
    <w:rsid w:val="00F54F94"/>
    <w:rsid w:val="00F87F8B"/>
    <w:rsid w:val="00F925B6"/>
    <w:rsid w:val="00F9601F"/>
    <w:rsid w:val="00F96F09"/>
    <w:rsid w:val="00FA064C"/>
    <w:rsid w:val="00FA3369"/>
    <w:rsid w:val="00FA67FB"/>
    <w:rsid w:val="00FA7E3F"/>
    <w:rsid w:val="00FB099C"/>
    <w:rsid w:val="00FD319A"/>
    <w:rsid w:val="00FF55DB"/>
    <w:rsid w:val="00FF6EFA"/>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6F57E"/>
  <w15:chartTrackingRefBased/>
  <w15:docId w15:val="{38BB5975-6C3A-495D-A60D-C5EAB399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3B98"/>
    <w:rPr>
      <w:color w:val="0000FF"/>
      <w:u w:val="single"/>
    </w:rPr>
  </w:style>
  <w:style w:type="paragraph" w:styleId="BalloonText">
    <w:name w:val="Balloon Text"/>
    <w:basedOn w:val="Normal"/>
    <w:link w:val="BalloonTextChar"/>
    <w:uiPriority w:val="99"/>
    <w:semiHidden/>
    <w:unhideWhenUsed/>
    <w:rsid w:val="00801FB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01FBB"/>
    <w:rPr>
      <w:rFonts w:ascii="Tahoma" w:hAnsi="Tahoma" w:cs="Tahoma"/>
      <w:sz w:val="16"/>
      <w:szCs w:val="16"/>
    </w:rPr>
  </w:style>
  <w:style w:type="paragraph" w:styleId="NoSpacing">
    <w:name w:val="No Spacing"/>
    <w:uiPriority w:val="1"/>
    <w:qFormat/>
    <w:rsid w:val="00F14C4E"/>
    <w:rPr>
      <w:rFonts w:ascii="Arial" w:hAnsi="Arial" w:cs="Arial"/>
      <w:sz w:val="24"/>
      <w:szCs w:val="24"/>
    </w:rPr>
  </w:style>
  <w:style w:type="character" w:styleId="CommentReference">
    <w:name w:val="annotation reference"/>
    <w:semiHidden/>
    <w:rsid w:val="005D12E5"/>
    <w:rPr>
      <w:sz w:val="16"/>
      <w:szCs w:val="16"/>
    </w:rPr>
  </w:style>
  <w:style w:type="paragraph" w:styleId="CommentText">
    <w:name w:val="annotation text"/>
    <w:basedOn w:val="Normal"/>
    <w:semiHidden/>
    <w:rsid w:val="005D12E5"/>
    <w:rPr>
      <w:sz w:val="20"/>
      <w:szCs w:val="20"/>
    </w:rPr>
  </w:style>
  <w:style w:type="paragraph" w:styleId="CommentSubject">
    <w:name w:val="annotation subject"/>
    <w:basedOn w:val="CommentText"/>
    <w:next w:val="CommentText"/>
    <w:semiHidden/>
    <w:rsid w:val="005D12E5"/>
    <w:rPr>
      <w:b/>
      <w:bCs/>
    </w:rPr>
  </w:style>
  <w:style w:type="paragraph" w:styleId="Footer">
    <w:name w:val="footer"/>
    <w:basedOn w:val="Normal"/>
    <w:link w:val="FooterChar"/>
    <w:uiPriority w:val="99"/>
    <w:rsid w:val="001758F1"/>
    <w:pPr>
      <w:tabs>
        <w:tab w:val="center" w:pos="4320"/>
        <w:tab w:val="right" w:pos="8640"/>
      </w:tabs>
    </w:pPr>
    <w:rPr>
      <w:rFonts w:ascii="Times New Roman" w:hAnsi="Times New Roman" w:cs="Times New Roman"/>
      <w:lang w:val="x-none" w:eastAsia="x-none"/>
    </w:rPr>
  </w:style>
  <w:style w:type="character" w:customStyle="1" w:styleId="FooterChar">
    <w:name w:val="Footer Char"/>
    <w:link w:val="Footer"/>
    <w:uiPriority w:val="99"/>
    <w:rsid w:val="001758F1"/>
    <w:rPr>
      <w:sz w:val="24"/>
      <w:szCs w:val="24"/>
    </w:rPr>
  </w:style>
  <w:style w:type="paragraph" w:customStyle="1" w:styleId="Default">
    <w:name w:val="Default"/>
    <w:rsid w:val="00C55EAD"/>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F3664"/>
    <w:rPr>
      <w:color w:val="954F72"/>
      <w:u w:val="single"/>
    </w:rPr>
  </w:style>
  <w:style w:type="character" w:customStyle="1" w:styleId="Mention1">
    <w:name w:val="Mention1"/>
    <w:uiPriority w:val="99"/>
    <w:semiHidden/>
    <w:unhideWhenUsed/>
    <w:rsid w:val="000854E1"/>
    <w:rPr>
      <w:color w:val="2B579A"/>
      <w:shd w:val="clear" w:color="auto" w:fill="E6E6E6"/>
    </w:rPr>
  </w:style>
  <w:style w:type="paragraph" w:styleId="NormalWeb">
    <w:name w:val="Normal (Web)"/>
    <w:basedOn w:val="Normal"/>
    <w:uiPriority w:val="99"/>
    <w:unhideWhenUsed/>
    <w:rsid w:val="00DA1B15"/>
    <w:pPr>
      <w:spacing w:before="100" w:beforeAutospacing="1" w:after="100" w:afterAutospacing="1"/>
    </w:pPr>
    <w:rPr>
      <w:rFonts w:ascii="Times New Roman" w:eastAsia="Calibri" w:hAnsi="Times New Roman" w:cs="Times New Roman"/>
    </w:rPr>
  </w:style>
  <w:style w:type="character" w:styleId="Emphasis">
    <w:name w:val="Emphasis"/>
    <w:uiPriority w:val="20"/>
    <w:qFormat/>
    <w:rsid w:val="00DA1B15"/>
    <w:rPr>
      <w:i/>
      <w:iCs/>
    </w:rPr>
  </w:style>
  <w:style w:type="paragraph" w:customStyle="1" w:styleId="CoverTitle">
    <w:name w:val="Cover Title"/>
    <w:basedOn w:val="BodyText"/>
    <w:link w:val="CoverTitleChar"/>
    <w:autoRedefine/>
    <w:uiPriority w:val="1"/>
    <w:qFormat/>
    <w:rsid w:val="00DA1B15"/>
    <w:pPr>
      <w:kinsoku w:val="0"/>
      <w:overflowPunct w:val="0"/>
      <w:autoSpaceDE w:val="0"/>
      <w:autoSpaceDN w:val="0"/>
      <w:adjustRightInd w:val="0"/>
      <w:spacing w:before="49" w:after="0"/>
      <w:ind w:right="270"/>
      <w:jc w:val="center"/>
    </w:pPr>
    <w:rPr>
      <w:b/>
      <w:bCs/>
      <w:sz w:val="40"/>
      <w:szCs w:val="43"/>
    </w:rPr>
  </w:style>
  <w:style w:type="character" w:customStyle="1" w:styleId="CoverTitleChar">
    <w:name w:val="Cover Title Char"/>
    <w:link w:val="CoverTitle"/>
    <w:uiPriority w:val="1"/>
    <w:rsid w:val="00DA1B15"/>
    <w:rPr>
      <w:rFonts w:ascii="Arial" w:hAnsi="Arial" w:cs="Arial"/>
      <w:b/>
      <w:bCs/>
      <w:sz w:val="40"/>
      <w:szCs w:val="43"/>
    </w:rPr>
  </w:style>
  <w:style w:type="paragraph" w:styleId="BodyText">
    <w:name w:val="Body Text"/>
    <w:basedOn w:val="Normal"/>
    <w:link w:val="BodyTextChar"/>
    <w:uiPriority w:val="99"/>
    <w:semiHidden/>
    <w:unhideWhenUsed/>
    <w:rsid w:val="00DA1B15"/>
    <w:pPr>
      <w:spacing w:after="120"/>
    </w:pPr>
    <w:rPr>
      <w:rFonts w:cs="Times New Roman"/>
      <w:lang w:val="x-none" w:eastAsia="x-none"/>
    </w:rPr>
  </w:style>
  <w:style w:type="character" w:customStyle="1" w:styleId="BodyTextChar">
    <w:name w:val="Body Text Char"/>
    <w:link w:val="BodyText"/>
    <w:uiPriority w:val="99"/>
    <w:semiHidden/>
    <w:rsid w:val="00DA1B15"/>
    <w:rPr>
      <w:rFonts w:ascii="Arial" w:hAnsi="Arial" w:cs="Arial"/>
      <w:sz w:val="24"/>
      <w:szCs w:val="24"/>
    </w:rPr>
  </w:style>
  <w:style w:type="paragraph" w:customStyle="1" w:styleId="PPIMinutesHeading">
    <w:name w:val="PPI Minutes Heading"/>
    <w:basedOn w:val="Normal"/>
    <w:link w:val="PPIMinutesHeadingChar"/>
    <w:qFormat/>
    <w:rsid w:val="0084685B"/>
    <w:pPr>
      <w:ind w:left="806"/>
      <w:jc w:val="center"/>
    </w:pPr>
    <w:rPr>
      <w:rFonts w:eastAsia="Calibri" w:cs="Times New Roman"/>
      <w:b/>
      <w:color w:val="000000"/>
      <w:sz w:val="28"/>
      <w:szCs w:val="22"/>
      <w:lang w:val="x-none" w:eastAsia="x-none"/>
    </w:rPr>
  </w:style>
  <w:style w:type="character" w:customStyle="1" w:styleId="PPIMinutesHeadingChar">
    <w:name w:val="PPI Minutes Heading Char"/>
    <w:link w:val="PPIMinutesHeading"/>
    <w:rsid w:val="0084685B"/>
    <w:rPr>
      <w:rFonts w:ascii="Arial" w:eastAsia="Calibri" w:hAnsi="Arial"/>
      <w:b/>
      <w:color w:val="000000"/>
      <w:sz w:val="28"/>
      <w:szCs w:val="22"/>
    </w:rPr>
  </w:style>
  <w:style w:type="paragraph" w:styleId="Header">
    <w:name w:val="header"/>
    <w:basedOn w:val="Normal"/>
    <w:link w:val="HeaderChar"/>
    <w:uiPriority w:val="99"/>
    <w:unhideWhenUsed/>
    <w:rsid w:val="00256A26"/>
    <w:pPr>
      <w:tabs>
        <w:tab w:val="center" w:pos="4680"/>
        <w:tab w:val="right" w:pos="9360"/>
      </w:tabs>
    </w:pPr>
  </w:style>
  <w:style w:type="character" w:customStyle="1" w:styleId="HeaderChar">
    <w:name w:val="Header Char"/>
    <w:link w:val="Header"/>
    <w:uiPriority w:val="99"/>
    <w:rsid w:val="00256A26"/>
    <w:rPr>
      <w:rFonts w:ascii="Arial" w:hAnsi="Arial" w:cs="Arial"/>
      <w:sz w:val="24"/>
      <w:szCs w:val="24"/>
    </w:rPr>
  </w:style>
  <w:style w:type="character" w:styleId="UnresolvedMention">
    <w:name w:val="Unresolved Mention"/>
    <w:basedOn w:val="DefaultParagraphFont"/>
    <w:uiPriority w:val="99"/>
    <w:semiHidden/>
    <w:unhideWhenUsed/>
    <w:rsid w:val="0015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sticpipe.org/conduitcal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sticpipe.org/pdf/tn-63-202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C767-9712-4450-8542-FB0D5386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Draft (07/29/09 - PM)</vt:lpstr>
    </vt:vector>
  </TitlesOfParts>
  <Company>SCA</Company>
  <LinksUpToDate>false</LinksUpToDate>
  <CharactersWithSpaces>3430</CharactersWithSpaces>
  <SharedDoc>false</SharedDoc>
  <HLinks>
    <vt:vector size="12" baseType="variant">
      <vt:variant>
        <vt:i4>1310730</vt:i4>
      </vt:variant>
      <vt:variant>
        <vt:i4>3</vt:i4>
      </vt:variant>
      <vt:variant>
        <vt:i4>0</vt:i4>
      </vt:variant>
      <vt:variant>
        <vt:i4>5</vt:i4>
      </vt:variant>
      <vt:variant>
        <vt:lpwstr>https://plasticpipe.org/building-construction</vt:lpwstr>
      </vt:variant>
      <vt:variant>
        <vt:lpwstr/>
      </vt:variant>
      <vt:variant>
        <vt:i4>3866751</vt:i4>
      </vt:variant>
      <vt:variant>
        <vt:i4>0</vt:i4>
      </vt:variant>
      <vt:variant>
        <vt:i4>0</vt:i4>
      </vt:variant>
      <vt:variant>
        <vt:i4>5</vt:i4>
      </vt:variant>
      <vt:variant>
        <vt:lpwstr>https://plasticpipe.org/building-construction/bcd-contact.html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Draft (07/29/09 - PM)</dc:title>
  <dc:subject/>
  <dc:creator>Preferred Customer</dc:creator>
  <cp:keywords/>
  <cp:lastModifiedBy>Steve Cooper</cp:lastModifiedBy>
  <cp:revision>4</cp:revision>
  <cp:lastPrinted>2021-06-16T12:42:00Z</cp:lastPrinted>
  <dcterms:created xsi:type="dcterms:W3CDTF">2021-09-14T11:56:00Z</dcterms:created>
  <dcterms:modified xsi:type="dcterms:W3CDTF">2021-09-14T11:57:00Z</dcterms:modified>
</cp:coreProperties>
</file>